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282</w:t>
      </w:r>
    </w:p>
    <w:p>
      <w:r>
        <w:t>Bundesgericht (BGE), 1994-10-03, FR</w:t>
      </w:r>
    </w:p>
    <w:p>
      <w:r>
        <w:rPr>
          <w:b/>
        </w:rPr>
        <w:t xml:space="preserve">Quelle: </w:t>
      </w:r>
      <w:r>
        <w:t>https://mcp.opencaselaw.ch/entscheid/bge_120 IV 282</w:t>
      </w:r>
    </w:p>
    <w:p>
      <w:r>
        <w:t>FR: ATF 120 IV 282</w:t>
      </w:r>
    </w:p>
    <w:p>
      <w:r>
        <w:t>IT: DTF 120 IV 282</w:t>
      </w:r>
    </w:p>
    <w:p>
      <w:pPr>
        <w:pStyle w:val="Heading2"/>
      </w:pPr>
      <w:r>
        <w:t>Regeste</w:t>
      </w:r>
    </w:p>
    <w:p>
      <w:r>
        <w:t>Regeste Art. 346 ff. StGB und Art. 8 OHG; Beteiligung des Opfers am Verfahren um Bestimmung des Gerichtsstandes. Art. 8 OHG verleiht dem Opfer keinen Anspruch darauf, sich zum Gesuch des Beschuldigten um Bestimmung des Gerichtsstandes vernehmen zu lassen (E. 1). Art. 346 ff. StGB. Ein Zeuge ist nicht Partei im Strafverfahren. Er kann daher den Gerichtsstand nicht bestreiten (E. 2). Umstände, die ein Abweichen vom gesetzlichen Gerichtsstand rechtfertigen, insbesondere wenn dieser durch Vereinbarung unter den Kantonen anerkannt worden ist (E. 3).</w:t>
      </w:r>
    </w:p>
    <w:p>
      <w:pPr>
        <w:pStyle w:val="Heading2"/>
      </w:pPr>
      <w:r>
        <w:t>Erwägungen</w:t>
      </w:r>
    </w:p>
    <w:p>
      <w:r>
        <w:rPr>
          <w:b/>
        </w:rPr>
        <w:t>E. 1</w:t>
      </w:r>
    </w:p>
    <w:p>
      <w:r>
        <w:t>Les plaignants et parties civiles demandent à pouvoir prendre position sur la question du for. Ils se fondent sur l' art. 8 LAVI . Cette disposition a notamment pour but de permettre aux victimes de faire valoir leurs prétentions civiles par la voie pénale ( ATF 120 IV 44 consid. 4 p. 51). BGE 120 IV 282 S. 285 Elle s'applique sur tout le territoire de la Confédération, si bien que l'on ne discerne pas quel intérêt juridiquement protégé une victime aurait à ce que la poursuite pénale se déroule dans un canton plutôt que dans un autre. On ne saurait donc admettre que la détermination du for touche les prétentions civiles ou puisse avoir des effets sur le jugement de ces dernières, au sens de l' art. 8 al. 1 let . c LAVI. Dès lors, les victimes ne seront pas autorisées à se déterminer sur la plainte au sujet du for présentée par l'inculpé.</w:t>
      </w:r>
    </w:p>
    <w:p>
      <w:r>
        <w:rPr>
          <w:b/>
        </w:rPr>
        <w:t>E. 2</w:t>
      </w:r>
    </w:p>
    <w:p>
      <w:r>
        <w:t>D'après le Procureur général du canton de Genève, A. aurait dû contester le for genevois plus tôt, alors qu'il était entendu comme témoin; le risque d'être inculpé serait suffisant pour exiger une protestation au sujet du for. Cette argumentation doit être rejetée. Hormis les autorités, seules les parties ont une possibilité de saisir la Chambre d'accusation du Tribunal fédéral d'une contestation relative au for intercantonal (SCHWERI, Interkantonale Gerichtsstandsbestimmung in Strafsachen, Berne 1987 p. 171 ch. 3, n. 539 ss). Or, un témoin n'est pas une partie. En l'espèce, A. a été entendu comme témoin, donc sans avocat (sans interprète non plus), les 25 septembre 1992 et 18 février 1994. Il a été inculpé le 4 mai 1994. Il a mandaté un avocat qui a contesté le for (après avoir pris connaissance du volumineux dossier) le 6 juin 1994 en s'adressant au Juge d'instruction. On ne saurait dès lors lui reprocher - sous l'angle de la bonne foi - d'avoir laissé la procédure se dérouler à Genève puis de contester aujourd'hui seulement ce for.</w:t>
      </w:r>
    </w:p>
    <w:p>
      <w:r>
        <w:rPr>
          <w:b/>
        </w:rPr>
        <w:t>E. 3</w:t>
      </w:r>
    </w:p>
    <w:p>
      <w:r>
        <w:t>a) Selon l'art. 346 al. 1 première phrase CP, le for de la poursuite et du jugement d'une infraction se trouve là où l'auteur a agi. L'auteur médiat, qui se sert d'une personne comme d'un instrument pour commettre une infraction, est réputé avoir agi non seulement là où il a donné ses ordres mais encore à l'endroit où ils ont été exécutés; en pareil cas, le for sera fixé au lieu où la première instruction a été ouverte ( ATF 85 IV 203 ; SCHWERI, op.cit., p. 48 n. 88 et 89 où est citée l'opinion de WALDER, pour qui seul l'acte de l'auteur médiat, non pas celui de l'instrument, doit être pris en considération aux fins de déterminer le lieu de commission). D'après les art. 262 et 263 PPF , la Chambre d'accusation peut déroger aux règles des art. 349 et 350 CP (pluralité de coauteurs, concours d'infractions). Cette faculté s'étend à d'autres cas (SCHWERI, op.cit. p. 235 n. 395 ss en particulier 401). L'inculpé n'a pas un droit illimité d'exiger d'être jugé par les autorités du canton où il a agi ( ATF 71 IV 60 p. 62). Le transfert du for de la BGE 120 IV 282 S. 286 poursuite pénale, après que les cantons se sont mis d'accord à son sujet, est admissible uniquement en présence de motifs déterminants ( ATF 107 IV 158 consid. 1 et jurisprudence citée). La Chambre de céans a déjà jugé que sont déterminantes les raisons qui imposent une modification du for afin de respecter le principe de l'économie de procédure ou de garantir d'autres intérêts découlant de faits nouveaux ( ATF 72 IV 39 consid. 1). Le transfert du for doit demeurer l'exception. Le but premier est de sauvegarder la rapidité et l'efficacité des poursuites pénales (voir SCHWERI, op.cit., p. 63 n. 161, voir p. 153 n. 478). La tendance actuelle de la jurisprudence est de modifier le for uniquement lorsque des motifs d'économie de procédure le commandent instamment (SCHWERI, op.cit., p. 154 n. 481). L'inculpé ne peut obtenir le transfert du for reposant sur un accord intercantonal que si cet accord résulte d'un abus du pouvoir d'appréciation laissé aux cantons, abus qui constitue une violation du droit fédéral ( ATF 117 IV 90 consid. 4a, avec la jurisprudence et la doctrine citées). b) En l'espèce, si l'on s'en tient au fait que le requérant est le seul inculpé et qu'il a agi - par action et par omission - à Berne, le for légal se trouve dans ce canton en application de l' art. 346 al. 1 1 ère phrase CP. Ce point ne paraît pas contesté. Cependant, un accord intercantonal a été conclu, certes récemment, et les trois cantons concernés ont accepté que le for soit fixé à Genève. Or, on ne saurait soutenir que cette dérogation au for légal soit le fruit d'un abus du pouvoir d'appréciation. En effet, les points de rattachement situés dans le canton de Genève sont nombreux. Si l'on considère que le Laboratoire central (représenté par son directeur) est un auteur médiat, ayant agi par l'intermédiaire notamment de l'Hôpital cantonal de Genève et des médecins établis dans ce canton, la jurisprudence permettrait de fixer même le for légal dans ce canton, où la première instruction a été ouverte. Si l'on considère qu'il s'agit de coauteurs, le résultat serait le même. Le Procureur général du canton de Genève admet que l'enquête n'est pas concentrée sur le seul requérant, ce qui pourrait conduire à d'autres inculpations. Au demeurant, plusieurs des plaignants habitent le canton de Genève et ceux qui ont saisi les autorités bernoises et zurichoises sont d'accord d'admettre le for genevois. Dans ces circonstances, on ne discerne aucun motif déterminant imposant le transfert du for dans le canton de Berne. De plus, le principe de la célérité de la procédure réclame une attention particulière dans ce cas où la maladie des victimes est mortelle et où les faits sont déjà anciens. Le BGE 120 IV 282 S. 287 Procureur général du canton de Berne estime également que l'instruction pourra se dérouler plus rapidement à Genève que dans son canton. Ainsi, l'accord intercantonal ne résulte pas d'un abus du pouvoir d'appréciation laissé aux cantons. La plainte au sujet du for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